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1" w:rsidRDefault="001711EB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11EB" w:rsidRDefault="001711EB" w:rsidP="00171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7B7D4A" w:rsidRDefault="001213EB" w:rsidP="001213EB">
      <w:pPr>
        <w:spacing w:after="0" w:line="240" w:lineRule="auto"/>
        <w:ind w:right="-1" w:firstLine="142"/>
        <w:jc w:val="center"/>
        <w:rPr>
          <w:rFonts w:ascii="Times New Roman" w:eastAsiaTheme="minorEastAsia" w:hAnsi="Times New Roman"/>
          <w:sz w:val="28"/>
          <w:szCs w:val="28"/>
        </w:rPr>
      </w:pPr>
      <w:r w:rsidRPr="001213EB">
        <w:rPr>
          <w:rFonts w:ascii="Times New Roman" w:eastAsiaTheme="minorEastAsia" w:hAnsi="Times New Roman"/>
          <w:sz w:val="28"/>
          <w:szCs w:val="28"/>
        </w:rPr>
        <w:t>«Совместная с правоохранительными органами проверка исполнения бюджетного и иного законодательства при расходовании средств областного бюджета, направленных на  строительство  объекта «</w:t>
      </w:r>
      <w:proofErr w:type="spellStart"/>
      <w:r w:rsidRPr="001213EB">
        <w:rPr>
          <w:rFonts w:ascii="Times New Roman" w:eastAsiaTheme="minorEastAsia" w:hAnsi="Times New Roman"/>
          <w:sz w:val="28"/>
          <w:szCs w:val="28"/>
        </w:rPr>
        <w:t>Берегоукрепление</w:t>
      </w:r>
      <w:proofErr w:type="spellEnd"/>
      <w:r w:rsidRPr="001213EB">
        <w:rPr>
          <w:rFonts w:ascii="Times New Roman" w:eastAsiaTheme="minorEastAsia" w:hAnsi="Times New Roman"/>
          <w:sz w:val="28"/>
          <w:szCs w:val="28"/>
        </w:rPr>
        <w:t xml:space="preserve"> участка рукава </w:t>
      </w:r>
      <w:proofErr w:type="spellStart"/>
      <w:r w:rsidRPr="001213EB">
        <w:rPr>
          <w:rFonts w:ascii="Times New Roman" w:eastAsiaTheme="minorEastAsia" w:hAnsi="Times New Roman"/>
          <w:sz w:val="28"/>
          <w:szCs w:val="28"/>
        </w:rPr>
        <w:t>Быстрокурки</w:t>
      </w:r>
      <w:proofErr w:type="spellEnd"/>
      <w:r w:rsidRPr="001213EB">
        <w:rPr>
          <w:rFonts w:ascii="Times New Roman" w:eastAsiaTheme="minorEastAsia" w:hAnsi="Times New Roman"/>
          <w:sz w:val="28"/>
          <w:szCs w:val="28"/>
        </w:rPr>
        <w:t xml:space="preserve"> реки Северная Двина  в селе Холмогоры Архангельской области»</w:t>
      </w:r>
    </w:p>
    <w:p w:rsidR="001213EB" w:rsidRDefault="001213EB" w:rsidP="001213EB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B7D4A" w:rsidRDefault="00BA0CFE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</w:p>
    <w:p w:rsidR="001213EB" w:rsidRDefault="001213EB" w:rsidP="001213EB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/>
          <w:sz w:val="28"/>
          <w:szCs w:val="28"/>
        </w:rPr>
        <w:t>с</w:t>
      </w:r>
      <w:r w:rsidRPr="001213EB">
        <w:rPr>
          <w:rFonts w:ascii="Times New Roman" w:eastAsiaTheme="minorEastAsia" w:hAnsi="Times New Roman"/>
          <w:sz w:val="28"/>
          <w:szCs w:val="28"/>
        </w:rPr>
        <w:t>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пункты 3.1, 2.2.3.6  плана экспертно-аналитической и контрольно-счетной деятельности контрольно-счетной палаты Архангельской области на 2017 год, обращение правоохранительных органов от 19.10.2017 № 3/4104, р</w:t>
      </w:r>
      <w:r w:rsidRPr="001213EB">
        <w:rPr>
          <w:rFonts w:ascii="Times New Roman" w:eastAsiaTheme="minorEastAsia" w:hAnsi="Times New Roman"/>
          <w:bCs/>
          <w:sz w:val="28"/>
          <w:szCs w:val="28"/>
        </w:rPr>
        <w:t>аспоряжение</w:t>
      </w:r>
      <w:proofErr w:type="gramEnd"/>
      <w:r w:rsidRPr="001213EB">
        <w:rPr>
          <w:rFonts w:ascii="Times New Roman" w:eastAsiaTheme="minorEastAsia" w:hAnsi="Times New Roman"/>
          <w:bCs/>
          <w:sz w:val="28"/>
          <w:szCs w:val="28"/>
        </w:rPr>
        <w:t xml:space="preserve"> председателя КСП АО от 30.10.2017  № 28-р.</w:t>
      </w:r>
    </w:p>
    <w:p w:rsidR="007B7D4A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2.</w:t>
      </w:r>
      <w:r w:rsidR="003934BF">
        <w:rPr>
          <w:sz w:val="28"/>
          <w:szCs w:val="28"/>
          <w:u w:val="single"/>
        </w:rPr>
        <w:t xml:space="preserve"> </w:t>
      </w:r>
      <w:r w:rsidRPr="001711EB">
        <w:rPr>
          <w:sz w:val="28"/>
          <w:szCs w:val="28"/>
          <w:u w:val="single"/>
        </w:rPr>
        <w:t>Перечень объектов контрольного мероприятия</w:t>
      </w:r>
      <w:r w:rsidRPr="001711EB">
        <w:rPr>
          <w:sz w:val="28"/>
          <w:szCs w:val="28"/>
        </w:rPr>
        <w:t>:</w:t>
      </w:r>
    </w:p>
    <w:p w:rsidR="001213EB" w:rsidRDefault="001213EB" w:rsidP="003934BF">
      <w:pPr>
        <w:pStyle w:val="a3"/>
        <w:ind w:left="0"/>
        <w:jc w:val="both"/>
        <w:rPr>
          <w:sz w:val="28"/>
          <w:szCs w:val="28"/>
        </w:rPr>
      </w:pPr>
      <w:r w:rsidRPr="001213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213EB">
        <w:rPr>
          <w:sz w:val="28"/>
          <w:szCs w:val="28"/>
        </w:rPr>
        <w:t xml:space="preserve">государственное казенное учреждение Архангельской области «Главное управление капитального строительства» (далее – </w:t>
      </w:r>
      <w:r w:rsidR="00B03355">
        <w:rPr>
          <w:sz w:val="28"/>
          <w:szCs w:val="28"/>
        </w:rPr>
        <w:t xml:space="preserve"> Учреждение</w:t>
      </w:r>
      <w:r w:rsidRPr="001213EB">
        <w:rPr>
          <w:sz w:val="28"/>
          <w:szCs w:val="28"/>
        </w:rPr>
        <w:t>).</w:t>
      </w:r>
    </w:p>
    <w:p w:rsidR="00B03355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3.Проверяемый период деятельности</w:t>
      </w:r>
      <w:r w:rsidRPr="001711EB">
        <w:rPr>
          <w:sz w:val="28"/>
          <w:szCs w:val="28"/>
        </w:rPr>
        <w:t xml:space="preserve">: </w:t>
      </w:r>
    </w:p>
    <w:p w:rsidR="003934BF" w:rsidRPr="003934BF" w:rsidRDefault="00B03355" w:rsidP="003934BF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213EB" w:rsidRPr="001213EB">
        <w:rPr>
          <w:sz w:val="28"/>
          <w:szCs w:val="28"/>
        </w:rPr>
        <w:t xml:space="preserve">2015 год, при необходимости более ранние </w:t>
      </w:r>
      <w:r w:rsidR="001213EB" w:rsidRPr="001213EB">
        <w:rPr>
          <w:sz w:val="28"/>
          <w:szCs w:val="28"/>
        </w:rPr>
        <w:tab/>
        <w:t>периоды.</w:t>
      </w:r>
    </w:p>
    <w:p w:rsidR="007B7D4A" w:rsidRPr="007B7D4A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1711EB">
        <w:rPr>
          <w:rFonts w:ascii="Times New Roman" w:hAnsi="Times New Roman" w:cs="Times New Roman"/>
          <w:sz w:val="28"/>
          <w:szCs w:val="28"/>
        </w:rPr>
        <w:t>:</w:t>
      </w:r>
      <w:r w:rsidR="001213EB">
        <w:rPr>
          <w:rFonts w:ascii="Times New Roman" w:hAnsi="Times New Roman" w:cs="Times New Roman"/>
          <w:sz w:val="28"/>
          <w:szCs w:val="28"/>
        </w:rPr>
        <w:t xml:space="preserve"> </w:t>
      </w:r>
      <w:r w:rsidR="00B03355">
        <w:rPr>
          <w:rFonts w:ascii="Times New Roman" w:hAnsi="Times New Roman" w:cs="Times New Roman"/>
          <w:sz w:val="28"/>
          <w:szCs w:val="28"/>
        </w:rPr>
        <w:t>с 01.11.2017г. по 08.12.2017г.</w:t>
      </w:r>
    </w:p>
    <w:p w:rsidR="007B7D4A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7B7D4A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мероприятия: </w:t>
      </w:r>
    </w:p>
    <w:p w:rsidR="00B03355" w:rsidRDefault="00B03355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3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3355"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бюджетных средств, выделенных ГКУ АО "Главное управление  капитального строительства" в рамках долгосрочной целевой программы  Архангельской области "Развитие  водохозяйственного комплекса Архангельской области  на 2012-2020 годы", утвержденной постановлением Правительства Архангельской области от 11.10.2011 № 361-пп  и Государственной программы Архангельской области "Охрана окружающей среды, воспроизводство и использование природных ресурсов Архангельской области (2014-2020 годы)", утвержденной  постановлением Правительства Архангельской области  от</w:t>
      </w:r>
      <w:proofErr w:type="gramEnd"/>
      <w:r w:rsidRPr="00B03355">
        <w:rPr>
          <w:rFonts w:ascii="Times New Roman" w:hAnsi="Times New Roman" w:cs="Times New Roman"/>
          <w:sz w:val="28"/>
          <w:szCs w:val="28"/>
        </w:rPr>
        <w:t xml:space="preserve"> 11.10.2013 № 476-пп на строительство  объекта</w:t>
      </w:r>
      <w:r w:rsidRPr="00B03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335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03355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B03355">
        <w:rPr>
          <w:rFonts w:ascii="Times New Roman" w:hAnsi="Times New Roman" w:cs="Times New Roman"/>
          <w:sz w:val="28"/>
          <w:szCs w:val="28"/>
        </w:rPr>
        <w:t xml:space="preserve"> участка рукава </w:t>
      </w:r>
      <w:proofErr w:type="spellStart"/>
      <w:r w:rsidRPr="00B03355">
        <w:rPr>
          <w:rFonts w:ascii="Times New Roman" w:hAnsi="Times New Roman" w:cs="Times New Roman"/>
          <w:sz w:val="28"/>
          <w:szCs w:val="28"/>
        </w:rPr>
        <w:t>Быстрокурки</w:t>
      </w:r>
      <w:proofErr w:type="spellEnd"/>
      <w:r w:rsidRPr="00B03355">
        <w:rPr>
          <w:rFonts w:ascii="Times New Roman" w:hAnsi="Times New Roman" w:cs="Times New Roman"/>
          <w:sz w:val="28"/>
          <w:szCs w:val="28"/>
        </w:rPr>
        <w:t xml:space="preserve"> реки Северная Двина в селе Холмогоры Архангельской области".</w:t>
      </w:r>
    </w:p>
    <w:p w:rsidR="00C91667" w:rsidRPr="00B03355" w:rsidRDefault="00C91667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1667">
        <w:rPr>
          <w:rFonts w:ascii="Times New Roman" w:hAnsi="Times New Roman" w:cs="Times New Roman"/>
          <w:sz w:val="28"/>
          <w:szCs w:val="28"/>
        </w:rPr>
        <w:t>В рамках настоящего контрольного мероприятия КСП АО проведена проверка эффективности и целевого использования бюджетных средств, направленных на выполнение работ по устройству свайного основания под ограждение пешеходной зоны, а также устройству ограждения пешеходной зоны в рамках строительства объекта «</w:t>
      </w:r>
      <w:proofErr w:type="spellStart"/>
      <w:r w:rsidRPr="00C91667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C91667">
        <w:rPr>
          <w:rFonts w:ascii="Times New Roman" w:hAnsi="Times New Roman" w:cs="Times New Roman"/>
          <w:sz w:val="28"/>
          <w:szCs w:val="28"/>
        </w:rPr>
        <w:t xml:space="preserve"> участка рукава </w:t>
      </w:r>
      <w:proofErr w:type="spellStart"/>
      <w:r w:rsidRPr="00C91667">
        <w:rPr>
          <w:rFonts w:ascii="Times New Roman" w:hAnsi="Times New Roman" w:cs="Times New Roman"/>
          <w:sz w:val="28"/>
          <w:szCs w:val="28"/>
        </w:rPr>
        <w:t>Быстрокурки</w:t>
      </w:r>
      <w:proofErr w:type="spellEnd"/>
      <w:r w:rsidRPr="00C91667">
        <w:rPr>
          <w:rFonts w:ascii="Times New Roman" w:hAnsi="Times New Roman" w:cs="Times New Roman"/>
          <w:sz w:val="28"/>
          <w:szCs w:val="28"/>
        </w:rPr>
        <w:t xml:space="preserve">  р. Северной Двины в селе Холмогоры Архангельской области» на основании материалов ОМВД России по Холмогорскому  району</w:t>
      </w:r>
      <w:proofErr w:type="gramEnd"/>
    </w:p>
    <w:p w:rsidR="00B03355" w:rsidRDefault="00DD3B11" w:rsidP="00B03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3B11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3355" w:rsidRDefault="00B03355" w:rsidP="00B03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355">
        <w:rPr>
          <w:rFonts w:ascii="Times New Roman" w:hAnsi="Times New Roman" w:cs="Times New Roman"/>
          <w:sz w:val="28"/>
          <w:szCs w:val="28"/>
        </w:rPr>
        <w:tab/>
      </w:r>
      <w:r w:rsidR="00345EC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EC1" w:rsidRPr="00EE58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55D7C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положений пунктов</w:t>
      </w:r>
      <w:r w:rsidRPr="00955D7C">
        <w:rPr>
          <w:rFonts w:ascii="Times New Roman" w:hAnsi="Times New Roman" w:cs="Times New Roman"/>
          <w:sz w:val="28"/>
          <w:szCs w:val="28"/>
        </w:rPr>
        <w:t xml:space="preserve"> 38, 127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>
        <w:rPr>
          <w:rFonts w:ascii="Times New Roman" w:hAnsi="Times New Roman" w:cs="Times New Roman"/>
          <w:sz w:val="28"/>
          <w:szCs w:val="28"/>
        </w:rPr>
        <w:t>утвержденной приказом Минфина России</w:t>
      </w:r>
      <w:r w:rsidRPr="00955D7C">
        <w:rPr>
          <w:rFonts w:ascii="Times New Roman" w:hAnsi="Times New Roman" w:cs="Times New Roman"/>
          <w:sz w:val="28"/>
          <w:szCs w:val="28"/>
        </w:rPr>
        <w:t xml:space="preserve"> от  01.12.2010 № 157н, а также пунктов 7, 9 Инструкции по применению  Плана счетов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Pr="00955D7C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Pr="00955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приказом Минфина России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16.12.2010 № 174н, </w:t>
      </w:r>
      <w:r w:rsidRPr="00955D7C">
        <w:rPr>
          <w:rFonts w:ascii="Times New Roman" w:hAnsi="Times New Roman" w:cs="Times New Roman"/>
          <w:sz w:val="28"/>
          <w:szCs w:val="28"/>
        </w:rPr>
        <w:t xml:space="preserve">по данным бухгалтерского учета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55D7C">
        <w:rPr>
          <w:rFonts w:ascii="Times New Roman" w:hAnsi="Times New Roman" w:cs="Times New Roman"/>
          <w:sz w:val="28"/>
          <w:szCs w:val="28"/>
        </w:rPr>
        <w:t xml:space="preserve"> на счете 106.11 «Вложения в основные средства - недвижимое имущество учреждения» (для учета вложений (инвестиций) в объеме фактических затрат учреждения в объекты нефинансовых активов) в период с 25.03.2015 по 13.10.2015 были учтены объекты основных средств общей балансовой стоимостью 237 691 991,9</w:t>
      </w:r>
      <w:r>
        <w:rPr>
          <w:rFonts w:ascii="Times New Roman" w:hAnsi="Times New Roman" w:cs="Times New Roman"/>
          <w:sz w:val="28"/>
          <w:szCs w:val="28"/>
        </w:rPr>
        <w:t>4 руб., по которым у</w:t>
      </w:r>
      <w:r w:rsidRPr="00955D7C">
        <w:rPr>
          <w:rFonts w:ascii="Times New Roman" w:hAnsi="Times New Roman" w:cs="Times New Roman"/>
          <w:sz w:val="28"/>
          <w:szCs w:val="28"/>
        </w:rPr>
        <w:t>чреждением получены свидетельства о государственной регистрации права оперативного управления.</w:t>
      </w:r>
      <w:proofErr w:type="gramEnd"/>
    </w:p>
    <w:p w:rsidR="00B03355" w:rsidRDefault="00B03355" w:rsidP="00B033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Pr="002F2572">
        <w:rPr>
          <w:rFonts w:ascii="Times New Roman" w:hAnsi="Times New Roman" w:cs="Times New Roman"/>
          <w:sz w:val="28"/>
          <w:szCs w:val="28"/>
        </w:rPr>
        <w:t xml:space="preserve">Учреждением не предпринимались все предусмотренные законодательством Российской Федерации меры по применению к </w:t>
      </w:r>
      <w:r w:rsidRPr="00C92E39">
        <w:rPr>
          <w:rFonts w:ascii="Times New Roman" w:hAnsi="Times New Roman" w:cs="Times New Roman"/>
          <w:sz w:val="28"/>
          <w:szCs w:val="28"/>
        </w:rPr>
        <w:t>ЗАО Казанское специализированное управление «</w:t>
      </w:r>
      <w:proofErr w:type="spellStart"/>
      <w:r w:rsidRPr="00C92E39">
        <w:rPr>
          <w:rFonts w:ascii="Times New Roman" w:hAnsi="Times New Roman" w:cs="Times New Roman"/>
          <w:sz w:val="28"/>
          <w:szCs w:val="28"/>
        </w:rPr>
        <w:t>Гидроспецстрой</w:t>
      </w:r>
      <w:proofErr w:type="spellEnd"/>
      <w:r w:rsidRPr="00C92E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от 27.03.2013 № 05 </w:t>
      </w:r>
      <w:r w:rsidRPr="002F2572">
        <w:rPr>
          <w:rFonts w:ascii="Times New Roman" w:hAnsi="Times New Roman" w:cs="Times New Roman"/>
          <w:sz w:val="28"/>
          <w:szCs w:val="28"/>
        </w:rPr>
        <w:t>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в виде оплаты неустойки за невыполнение гарантийных </w:t>
      </w:r>
      <w:r w:rsidRPr="006654DB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DB">
        <w:rPr>
          <w:rFonts w:ascii="Times New Roman" w:hAnsi="Times New Roman" w:cs="Times New Roman"/>
          <w:sz w:val="28"/>
          <w:szCs w:val="28"/>
        </w:rPr>
        <w:t xml:space="preserve">(размер неустойки </w:t>
      </w:r>
      <w:r>
        <w:rPr>
          <w:rFonts w:ascii="Times New Roman" w:hAnsi="Times New Roman" w:cs="Times New Roman"/>
          <w:sz w:val="28"/>
          <w:szCs w:val="28"/>
        </w:rPr>
        <w:t>по состоянию на 13.08.2015</w:t>
      </w:r>
      <w:r w:rsidRPr="006654DB">
        <w:rPr>
          <w:rFonts w:ascii="Times New Roman" w:hAnsi="Times New Roman" w:cs="Times New Roman"/>
          <w:sz w:val="28"/>
          <w:szCs w:val="28"/>
        </w:rPr>
        <w:t xml:space="preserve"> составил 48 897 548,70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1265" w:rsidRDefault="006149A2" w:rsidP="00AF12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</w:t>
      </w:r>
      <w:proofErr w:type="gramStart"/>
      <w:r w:rsidR="00B03355">
        <w:rPr>
          <w:rFonts w:ascii="Times New Roman" w:hAnsi="Times New Roman" w:cs="Times New Roman"/>
          <w:sz w:val="28"/>
          <w:szCs w:val="28"/>
        </w:rPr>
        <w:t xml:space="preserve">В нарушение положений части 1 статьи 94, части 7 статьи 95 Федерального </w:t>
      </w:r>
      <w:r w:rsidR="00B03355" w:rsidRPr="006654D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03355">
        <w:rPr>
          <w:rFonts w:ascii="Times New Roman" w:hAnsi="Times New Roman" w:cs="Times New Roman"/>
          <w:sz w:val="28"/>
          <w:szCs w:val="28"/>
        </w:rPr>
        <w:t>от 05.04.2013 № 44-ФЗ «</w:t>
      </w:r>
      <w:r w:rsidR="00B03355" w:rsidRPr="005414C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03355">
        <w:rPr>
          <w:rFonts w:ascii="Times New Roman" w:hAnsi="Times New Roman" w:cs="Times New Roman"/>
          <w:sz w:val="28"/>
          <w:szCs w:val="28"/>
        </w:rPr>
        <w:t>»</w:t>
      </w:r>
      <w:r w:rsidR="00B03355" w:rsidRPr="0066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3355">
        <w:rPr>
          <w:rFonts w:ascii="Times New Roman" w:hAnsi="Times New Roman" w:cs="Times New Roman"/>
          <w:sz w:val="28"/>
          <w:szCs w:val="28"/>
        </w:rPr>
        <w:t>чреждением</w:t>
      </w:r>
      <w:r w:rsidR="00B03355" w:rsidRPr="006654DB">
        <w:rPr>
          <w:rFonts w:ascii="Times New Roman" w:hAnsi="Times New Roman" w:cs="Times New Roman"/>
          <w:sz w:val="28"/>
          <w:szCs w:val="28"/>
        </w:rPr>
        <w:t xml:space="preserve"> приняты и оплачены работы в составе а</w:t>
      </w:r>
      <w:r w:rsidR="00B03355">
        <w:rPr>
          <w:rFonts w:ascii="Times New Roman" w:hAnsi="Times New Roman" w:cs="Times New Roman"/>
          <w:sz w:val="28"/>
          <w:szCs w:val="28"/>
        </w:rPr>
        <w:t>ктов ф. КС-2 от 10.10.2014 № 14,</w:t>
      </w:r>
      <w:r w:rsidR="00B03355" w:rsidRPr="006654DB">
        <w:rPr>
          <w:rFonts w:ascii="Times New Roman" w:hAnsi="Times New Roman" w:cs="Times New Roman"/>
          <w:sz w:val="28"/>
          <w:szCs w:val="28"/>
        </w:rPr>
        <w:t xml:space="preserve"> от 12.11.2014 № 1</w:t>
      </w:r>
      <w:r w:rsidR="00B03355">
        <w:rPr>
          <w:rFonts w:ascii="Times New Roman" w:hAnsi="Times New Roman" w:cs="Times New Roman"/>
          <w:sz w:val="28"/>
          <w:szCs w:val="28"/>
        </w:rPr>
        <w:t>7,</w:t>
      </w:r>
      <w:r w:rsidR="00B03355" w:rsidRPr="006654DB">
        <w:rPr>
          <w:rFonts w:ascii="Times New Roman" w:hAnsi="Times New Roman" w:cs="Times New Roman"/>
          <w:sz w:val="28"/>
          <w:szCs w:val="28"/>
        </w:rPr>
        <w:t xml:space="preserve"> от 26.11.2014 № 24, которые не были предусмотрены проектно-сметной документацией, разработанной ООО «</w:t>
      </w:r>
      <w:proofErr w:type="spellStart"/>
      <w:r w:rsidR="00B03355" w:rsidRPr="006654DB">
        <w:rPr>
          <w:rFonts w:ascii="Times New Roman" w:hAnsi="Times New Roman" w:cs="Times New Roman"/>
          <w:sz w:val="28"/>
          <w:szCs w:val="28"/>
        </w:rPr>
        <w:t>Гидропромстрой</w:t>
      </w:r>
      <w:proofErr w:type="spellEnd"/>
      <w:r w:rsidR="00B03355" w:rsidRPr="006654DB">
        <w:rPr>
          <w:rFonts w:ascii="Times New Roman" w:hAnsi="Times New Roman" w:cs="Times New Roman"/>
          <w:sz w:val="28"/>
          <w:szCs w:val="28"/>
        </w:rPr>
        <w:t>», и</w:t>
      </w:r>
      <w:proofErr w:type="gramEnd"/>
      <w:r w:rsidR="00B03355" w:rsidRPr="006654DB">
        <w:rPr>
          <w:rFonts w:ascii="Times New Roman" w:hAnsi="Times New Roman" w:cs="Times New Roman"/>
          <w:sz w:val="28"/>
          <w:szCs w:val="28"/>
        </w:rPr>
        <w:t xml:space="preserve"> откорректированной документацией, разработанной ЗАО Казанское специализированное управление «</w:t>
      </w:r>
      <w:proofErr w:type="spellStart"/>
      <w:r w:rsidR="00B03355" w:rsidRPr="006654DB">
        <w:rPr>
          <w:rFonts w:ascii="Times New Roman" w:hAnsi="Times New Roman" w:cs="Times New Roman"/>
          <w:sz w:val="28"/>
          <w:szCs w:val="28"/>
        </w:rPr>
        <w:t>Г</w:t>
      </w:r>
      <w:r w:rsidR="00B03355">
        <w:rPr>
          <w:rFonts w:ascii="Times New Roman" w:hAnsi="Times New Roman" w:cs="Times New Roman"/>
          <w:sz w:val="28"/>
          <w:szCs w:val="28"/>
        </w:rPr>
        <w:t>идроспецстрой</w:t>
      </w:r>
      <w:proofErr w:type="spellEnd"/>
      <w:r w:rsidR="00B03355">
        <w:rPr>
          <w:rFonts w:ascii="Times New Roman" w:hAnsi="Times New Roman" w:cs="Times New Roman"/>
          <w:sz w:val="28"/>
          <w:szCs w:val="28"/>
        </w:rPr>
        <w:t xml:space="preserve">», и которые не являлись улучшенными 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по сравнению с качеством и техническими и функциональными характеристиками, указанными в </w:t>
      </w:r>
      <w:r w:rsidR="00B03355">
        <w:rPr>
          <w:rFonts w:ascii="Times New Roman" w:hAnsi="Times New Roman" w:cs="Times New Roman"/>
          <w:sz w:val="28"/>
          <w:szCs w:val="28"/>
        </w:rPr>
        <w:t>договоре.</w:t>
      </w:r>
    </w:p>
    <w:p w:rsidR="0011287E" w:rsidRDefault="00DA63E9" w:rsidP="00D76C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265">
        <w:rPr>
          <w:rFonts w:ascii="Times New Roman" w:hAnsi="Times New Roman" w:cs="Times New Roman"/>
          <w:sz w:val="28"/>
          <w:szCs w:val="28"/>
        </w:rPr>
        <w:t xml:space="preserve">6.3. </w:t>
      </w:r>
      <w:r w:rsidR="00B03355">
        <w:rPr>
          <w:rFonts w:ascii="Times New Roman" w:hAnsi="Times New Roman" w:cs="Times New Roman"/>
          <w:sz w:val="28"/>
          <w:szCs w:val="28"/>
        </w:rPr>
        <w:t>П</w:t>
      </w:r>
      <w:r w:rsidR="00B03355" w:rsidRPr="005414CF">
        <w:rPr>
          <w:rFonts w:ascii="Times New Roman" w:hAnsi="Times New Roman" w:cs="Times New Roman"/>
          <w:sz w:val="28"/>
          <w:szCs w:val="28"/>
        </w:rPr>
        <w:t>ри приемке и оплате фактически невыполненных работ по устройству свайного основания под ограждение пешеходной зоны и устройству ограждения на сумму 3 9</w:t>
      </w:r>
      <w:r w:rsidR="00B03355">
        <w:rPr>
          <w:rFonts w:ascii="Times New Roman" w:hAnsi="Times New Roman" w:cs="Times New Roman"/>
          <w:sz w:val="28"/>
          <w:szCs w:val="28"/>
        </w:rPr>
        <w:t>29 962,86 руб. (акты ф. КС-2 от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10.10.2014 № 14; от 12.11.2014 № 17</w:t>
      </w:r>
      <w:r w:rsidR="00B0335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03355">
        <w:rPr>
          <w:rFonts w:ascii="Times New Roman" w:hAnsi="Times New Roman" w:cs="Times New Roman"/>
          <w:sz w:val="28"/>
          <w:szCs w:val="28"/>
        </w:rPr>
        <w:t>от 26.11.2014 № 24)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</w:t>
      </w:r>
      <w:r w:rsidR="00AF1265">
        <w:rPr>
          <w:rFonts w:ascii="Times New Roman" w:hAnsi="Times New Roman" w:cs="Times New Roman"/>
          <w:sz w:val="28"/>
          <w:szCs w:val="28"/>
        </w:rPr>
        <w:t>У</w:t>
      </w:r>
      <w:r w:rsidR="00B03355" w:rsidRPr="005414CF">
        <w:rPr>
          <w:rFonts w:ascii="Times New Roman" w:hAnsi="Times New Roman" w:cs="Times New Roman"/>
          <w:sz w:val="28"/>
          <w:szCs w:val="28"/>
        </w:rPr>
        <w:t>чреждением, об</w:t>
      </w:r>
      <w:r w:rsidR="00B03355">
        <w:rPr>
          <w:rFonts w:ascii="Times New Roman" w:hAnsi="Times New Roman" w:cs="Times New Roman"/>
          <w:sz w:val="28"/>
          <w:szCs w:val="28"/>
        </w:rPr>
        <w:t>язанным в соответствии с пунктом 5.2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</w:t>
      </w:r>
      <w:r w:rsidR="00B03355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B03355" w:rsidRPr="005414CF">
        <w:rPr>
          <w:rFonts w:ascii="Times New Roman" w:hAnsi="Times New Roman" w:cs="Times New Roman"/>
          <w:sz w:val="28"/>
          <w:szCs w:val="28"/>
        </w:rPr>
        <w:t>от 27.03.2013 №</w:t>
      </w:r>
      <w:r w:rsidR="00B03355">
        <w:rPr>
          <w:rFonts w:ascii="Times New Roman" w:hAnsi="Times New Roman" w:cs="Times New Roman"/>
          <w:sz w:val="28"/>
          <w:szCs w:val="28"/>
        </w:rPr>
        <w:t xml:space="preserve"> 0</w:t>
      </w:r>
      <w:r w:rsidR="00B03355" w:rsidRPr="005414CF">
        <w:rPr>
          <w:rFonts w:ascii="Times New Roman" w:hAnsi="Times New Roman" w:cs="Times New Roman"/>
          <w:sz w:val="28"/>
          <w:szCs w:val="28"/>
        </w:rPr>
        <w:t>5 осуществлять техничес</w:t>
      </w:r>
      <w:r w:rsidR="00B03355">
        <w:rPr>
          <w:rFonts w:ascii="Times New Roman" w:hAnsi="Times New Roman" w:cs="Times New Roman"/>
          <w:sz w:val="28"/>
          <w:szCs w:val="28"/>
        </w:rPr>
        <w:t>кий надзор за производством на о</w:t>
      </w:r>
      <w:r w:rsidR="00B03355" w:rsidRPr="005414CF">
        <w:rPr>
          <w:rFonts w:ascii="Times New Roman" w:hAnsi="Times New Roman" w:cs="Times New Roman"/>
          <w:sz w:val="28"/>
          <w:szCs w:val="28"/>
        </w:rPr>
        <w:t>бъекте, нарушены положения пункта 1 статьи 740, пункта 1 статьи 746 Гражданского кодекса Р</w:t>
      </w:r>
      <w:r w:rsidR="00B0335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03355" w:rsidRPr="005414CF">
        <w:rPr>
          <w:rFonts w:ascii="Times New Roman" w:hAnsi="Times New Roman" w:cs="Times New Roman"/>
          <w:sz w:val="28"/>
          <w:szCs w:val="28"/>
        </w:rPr>
        <w:t>Ф</w:t>
      </w:r>
      <w:r w:rsidR="00B03355">
        <w:rPr>
          <w:rFonts w:ascii="Times New Roman" w:hAnsi="Times New Roman" w:cs="Times New Roman"/>
          <w:sz w:val="28"/>
          <w:szCs w:val="28"/>
        </w:rPr>
        <w:t>едерации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, </w:t>
      </w:r>
      <w:r w:rsidR="00B03355">
        <w:rPr>
          <w:rFonts w:ascii="Times New Roman" w:hAnsi="Times New Roman" w:cs="Times New Roman"/>
          <w:sz w:val="28"/>
          <w:szCs w:val="28"/>
        </w:rPr>
        <w:t>частей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1, 3 статьи 9 Феде</w:t>
      </w:r>
      <w:r w:rsidR="00B03355">
        <w:rPr>
          <w:rFonts w:ascii="Times New Roman" w:hAnsi="Times New Roman" w:cs="Times New Roman"/>
          <w:sz w:val="28"/>
          <w:szCs w:val="28"/>
        </w:rPr>
        <w:t xml:space="preserve">рального закона от 06.12.2011 № 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402-ФЗ </w:t>
      </w:r>
      <w:r w:rsidR="00B03355">
        <w:rPr>
          <w:rFonts w:ascii="Times New Roman" w:hAnsi="Times New Roman" w:cs="Times New Roman"/>
          <w:sz w:val="28"/>
          <w:szCs w:val="28"/>
        </w:rPr>
        <w:t>«</w:t>
      </w:r>
      <w:r w:rsidR="00B03355" w:rsidRPr="005414CF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B03355">
        <w:rPr>
          <w:rFonts w:ascii="Times New Roman" w:hAnsi="Times New Roman" w:cs="Times New Roman"/>
          <w:sz w:val="28"/>
          <w:szCs w:val="28"/>
        </w:rPr>
        <w:t>»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, пунктов  2.2.2, 2.2.3, 2.2.6, 2.2.7 Соглашения  </w:t>
      </w:r>
      <w:r w:rsidR="00B03355" w:rsidRPr="00CA5632">
        <w:rPr>
          <w:rFonts w:ascii="Times New Roman" w:hAnsi="Times New Roman" w:cs="Times New Roman"/>
          <w:sz w:val="28"/>
          <w:szCs w:val="28"/>
        </w:rPr>
        <w:t>о  предоставлении бюджетных инвестиций от 04.06.2012</w:t>
      </w:r>
      <w:proofErr w:type="gramEnd"/>
      <w:r w:rsidR="00B03355" w:rsidRPr="00CA563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03355" w:rsidRPr="00CA5632">
        <w:rPr>
          <w:rFonts w:ascii="Times New Roman" w:hAnsi="Times New Roman" w:cs="Times New Roman"/>
          <w:sz w:val="28"/>
          <w:szCs w:val="28"/>
        </w:rPr>
        <w:t xml:space="preserve">71/2012 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и Соглашения </w:t>
      </w:r>
      <w:r w:rsidR="00B03355" w:rsidRPr="00CA5632">
        <w:rPr>
          <w:rFonts w:ascii="Times New Roman" w:hAnsi="Times New Roman" w:cs="Times New Roman"/>
          <w:sz w:val="28"/>
          <w:szCs w:val="28"/>
        </w:rPr>
        <w:t xml:space="preserve">о  предоставлении бюджетных инвестиций </w:t>
      </w:r>
      <w:r w:rsidR="00B03355">
        <w:rPr>
          <w:rFonts w:ascii="Times New Roman" w:hAnsi="Times New Roman" w:cs="Times New Roman"/>
          <w:sz w:val="28"/>
          <w:szCs w:val="28"/>
        </w:rPr>
        <w:t xml:space="preserve">от </w:t>
      </w:r>
      <w:r w:rsidR="00B03355" w:rsidRPr="00CA5632">
        <w:rPr>
          <w:rFonts w:ascii="Times New Roman" w:hAnsi="Times New Roman" w:cs="Times New Roman"/>
          <w:sz w:val="28"/>
          <w:szCs w:val="28"/>
        </w:rPr>
        <w:t xml:space="preserve">07.03.2013 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№ 03/2013,  пунктов 5.2.2, 5.2.3, 10.2.5, 10.9.3 </w:t>
      </w:r>
      <w:r w:rsidR="00B03355">
        <w:rPr>
          <w:rFonts w:ascii="Times New Roman" w:hAnsi="Times New Roman" w:cs="Times New Roman"/>
          <w:sz w:val="28"/>
          <w:szCs w:val="28"/>
        </w:rPr>
        <w:t>договора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от 27.03.201</w:t>
      </w:r>
      <w:r w:rsidR="00B03355">
        <w:rPr>
          <w:rFonts w:ascii="Times New Roman" w:hAnsi="Times New Roman" w:cs="Times New Roman"/>
          <w:sz w:val="28"/>
          <w:szCs w:val="28"/>
        </w:rPr>
        <w:t>3 № 05, то есть с</w:t>
      </w:r>
      <w:r w:rsidR="00B03355" w:rsidRPr="005414CF">
        <w:rPr>
          <w:rFonts w:ascii="Times New Roman" w:hAnsi="Times New Roman" w:cs="Times New Roman"/>
          <w:sz w:val="28"/>
          <w:szCs w:val="28"/>
        </w:rPr>
        <w:t>редства</w:t>
      </w:r>
      <w:r w:rsidR="00B03355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использованы не по целевому назна</w:t>
      </w:r>
      <w:r w:rsidR="00B03355">
        <w:rPr>
          <w:rFonts w:ascii="Times New Roman" w:hAnsi="Times New Roman" w:cs="Times New Roman"/>
          <w:sz w:val="28"/>
          <w:szCs w:val="28"/>
        </w:rPr>
        <w:t>чению, в связи с чем</w:t>
      </w:r>
      <w:r w:rsidR="00AF1265">
        <w:rPr>
          <w:rFonts w:ascii="Times New Roman" w:hAnsi="Times New Roman" w:cs="Times New Roman"/>
          <w:sz w:val="28"/>
          <w:szCs w:val="28"/>
        </w:rPr>
        <w:t>,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нарушены положения статьи 78.2 </w:t>
      </w:r>
      <w:r w:rsidR="00B0335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(статьи 79 </w:t>
      </w:r>
      <w:r w:rsidR="00B0335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</w:t>
      </w:r>
      <w:r w:rsidR="00B03355" w:rsidRPr="005414CF">
        <w:rPr>
          <w:rFonts w:ascii="Times New Roman" w:hAnsi="Times New Roman" w:cs="Times New Roman"/>
          <w:sz w:val="28"/>
          <w:szCs w:val="28"/>
        </w:rPr>
        <w:t>Ф</w:t>
      </w:r>
      <w:r w:rsidR="00B03355">
        <w:rPr>
          <w:rFonts w:ascii="Times New Roman" w:hAnsi="Times New Roman" w:cs="Times New Roman"/>
          <w:sz w:val="28"/>
          <w:szCs w:val="28"/>
        </w:rPr>
        <w:t>едерации</w:t>
      </w:r>
      <w:r w:rsidR="00B03355" w:rsidRPr="005414CF">
        <w:rPr>
          <w:rFonts w:ascii="Times New Roman" w:hAnsi="Times New Roman" w:cs="Times New Roman"/>
          <w:sz w:val="28"/>
          <w:szCs w:val="28"/>
        </w:rPr>
        <w:t xml:space="preserve"> в отношении используемых в 2014, 2015 годах остатков субсидии на осуществление</w:t>
      </w:r>
      <w:proofErr w:type="gramEnd"/>
      <w:r w:rsidR="00B03355" w:rsidRPr="005414CF">
        <w:rPr>
          <w:rFonts w:ascii="Times New Roman" w:hAnsi="Times New Roman" w:cs="Times New Roman"/>
          <w:sz w:val="28"/>
          <w:szCs w:val="28"/>
        </w:rPr>
        <w:t xml:space="preserve"> бюджетных инвестиций), чем Архангельской области причинен ущерб в </w:t>
      </w:r>
      <w:r w:rsidR="00B03355">
        <w:rPr>
          <w:rFonts w:ascii="Times New Roman" w:hAnsi="Times New Roman" w:cs="Times New Roman"/>
          <w:sz w:val="28"/>
          <w:szCs w:val="28"/>
        </w:rPr>
        <w:t>размере 3 929 962,86 руб</w:t>
      </w:r>
      <w:r w:rsidR="00B03355" w:rsidRPr="005414CF">
        <w:rPr>
          <w:rFonts w:ascii="Times New Roman" w:hAnsi="Times New Roman" w:cs="Times New Roman"/>
          <w:sz w:val="28"/>
          <w:szCs w:val="28"/>
        </w:rPr>
        <w:t>.</w:t>
      </w:r>
    </w:p>
    <w:p w:rsidR="00D76CFD" w:rsidRPr="00D76CFD" w:rsidRDefault="0011287E" w:rsidP="00D76C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CFD" w:rsidRPr="00D76CFD">
        <w:rPr>
          <w:rFonts w:ascii="Times New Roman" w:eastAsiaTheme="minorEastAsia" w:hAnsi="Times New Roman"/>
          <w:sz w:val="28"/>
          <w:szCs w:val="28"/>
        </w:rPr>
        <w:t>В результате проведенн</w:t>
      </w:r>
      <w:r w:rsidR="00D76CFD">
        <w:rPr>
          <w:rFonts w:ascii="Times New Roman" w:eastAsiaTheme="minorEastAsia" w:hAnsi="Times New Roman"/>
          <w:sz w:val="28"/>
          <w:szCs w:val="28"/>
        </w:rPr>
        <w:t>ого</w:t>
      </w:r>
      <w:r w:rsidR="00D76CFD" w:rsidRPr="00D76CF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комиссионного</w:t>
      </w:r>
      <w:r w:rsidR="00D76CFD" w:rsidRPr="00D76CFD">
        <w:rPr>
          <w:rFonts w:ascii="Times New Roman" w:eastAsiaTheme="minorEastAsia" w:hAnsi="Times New Roman"/>
          <w:sz w:val="28"/>
          <w:szCs w:val="28"/>
        </w:rPr>
        <w:t xml:space="preserve"> осмотр</w:t>
      </w:r>
      <w:r w:rsidR="00D76CFD">
        <w:rPr>
          <w:rFonts w:ascii="Times New Roman" w:eastAsiaTheme="minorEastAsia" w:hAnsi="Times New Roman"/>
          <w:sz w:val="28"/>
          <w:szCs w:val="28"/>
        </w:rPr>
        <w:t>а</w:t>
      </w:r>
      <w:r w:rsidR="00D76CFD" w:rsidRPr="00D76CFD">
        <w:t xml:space="preserve"> </w:t>
      </w:r>
      <w:r w:rsidR="00D76CFD" w:rsidRPr="00D76CFD">
        <w:rPr>
          <w:rFonts w:ascii="Times New Roman" w:eastAsiaTheme="minorEastAsia" w:hAnsi="Times New Roman"/>
          <w:sz w:val="28"/>
          <w:szCs w:val="28"/>
        </w:rPr>
        <w:t xml:space="preserve">представителями КСП АО, ОМВД РФ по Холмогорскому району, администрации МО «Холмогорский муниципальный район», зафиксировано  несоответствие фактически выполненных работ результатам данных работ, отраженным в исполнительной документации:  </w:t>
      </w:r>
    </w:p>
    <w:p w:rsidR="00D76CFD" w:rsidRPr="00D76CFD" w:rsidRDefault="00D76CFD" w:rsidP="00D76C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410"/>
        <w:gridCol w:w="2268"/>
        <w:gridCol w:w="2410"/>
      </w:tblGrid>
      <w:tr w:rsidR="00D76CFD" w:rsidRPr="00D76CFD" w:rsidTr="00676297">
        <w:tc>
          <w:tcPr>
            <w:tcW w:w="4786" w:type="dxa"/>
            <w:gridSpan w:val="2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Сваи по проекту (предъявлено)</w:t>
            </w:r>
          </w:p>
        </w:tc>
        <w:tc>
          <w:tcPr>
            <w:tcW w:w="4678" w:type="dxa"/>
            <w:gridSpan w:val="2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Сваи фактически</w:t>
            </w:r>
          </w:p>
        </w:tc>
      </w:tr>
      <w:tr w:rsidR="00D76CFD" w:rsidRPr="00D76CFD" w:rsidTr="00676297">
        <w:tc>
          <w:tcPr>
            <w:tcW w:w="2376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Количество, шт.</w:t>
            </w:r>
          </w:p>
        </w:tc>
        <w:tc>
          <w:tcPr>
            <w:tcW w:w="2410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Размеры</w:t>
            </w:r>
          </w:p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268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Количество, шт.</w:t>
            </w:r>
          </w:p>
        </w:tc>
        <w:tc>
          <w:tcPr>
            <w:tcW w:w="2410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размеры</w:t>
            </w:r>
          </w:p>
        </w:tc>
      </w:tr>
      <w:tr w:rsidR="00D76CFD" w:rsidRPr="00D76CFD" w:rsidTr="00676297">
        <w:tc>
          <w:tcPr>
            <w:tcW w:w="2376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544</w:t>
            </w:r>
          </w:p>
        </w:tc>
        <w:tc>
          <w:tcPr>
            <w:tcW w:w="2410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Диаметр 159 мм, длина 3 м, толщина стенки 8 мм</w:t>
            </w:r>
          </w:p>
        </w:tc>
        <w:tc>
          <w:tcPr>
            <w:tcW w:w="2268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522</w:t>
            </w:r>
          </w:p>
        </w:tc>
        <w:tc>
          <w:tcPr>
            <w:tcW w:w="2410" w:type="dxa"/>
          </w:tcPr>
          <w:p w:rsidR="00D76CFD" w:rsidRPr="00D76CFD" w:rsidRDefault="00D76CFD" w:rsidP="00D76CF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Диаметр 89 мм, длина 2 м, толщина стенки 4 мм</w:t>
            </w:r>
          </w:p>
        </w:tc>
      </w:tr>
    </w:tbl>
    <w:p w:rsidR="0011287E" w:rsidRDefault="0011287E" w:rsidP="00D76C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D76CFD" w:rsidRPr="00D76CFD" w:rsidRDefault="00D76CFD" w:rsidP="00D76C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76CFD">
        <w:rPr>
          <w:rFonts w:ascii="Times New Roman" w:eastAsiaTheme="minorEastAsia" w:hAnsi="Times New Roman"/>
          <w:sz w:val="28"/>
          <w:szCs w:val="28"/>
        </w:rPr>
        <w:t>КСП АО выполнены расчеты стоимости, отражающие фактические объемы выполненных работ</w:t>
      </w:r>
      <w:r w:rsidR="0011287E">
        <w:rPr>
          <w:rFonts w:ascii="Times New Roman" w:eastAsiaTheme="minorEastAsia" w:hAnsi="Times New Roman"/>
          <w:sz w:val="28"/>
          <w:szCs w:val="28"/>
        </w:rPr>
        <w:t xml:space="preserve">. </w:t>
      </w:r>
      <w:r w:rsidRPr="00D76CFD">
        <w:rPr>
          <w:rFonts w:ascii="Times New Roman" w:eastAsiaTheme="minorEastAsia" w:hAnsi="Times New Roman"/>
          <w:sz w:val="28"/>
          <w:szCs w:val="28"/>
        </w:rPr>
        <w:t>Разница по стоимости работ, предъявленной в актах ф</w:t>
      </w:r>
      <w:r>
        <w:rPr>
          <w:rFonts w:ascii="Times New Roman" w:eastAsiaTheme="minorEastAsia" w:hAnsi="Times New Roman"/>
          <w:sz w:val="28"/>
          <w:szCs w:val="28"/>
        </w:rPr>
        <w:t>. КС-2 и фактической стоимостью составила 3 939 962,86 руб.</w:t>
      </w:r>
      <w:r w:rsidRPr="00D76CFD">
        <w:rPr>
          <w:rFonts w:ascii="Times New Roman" w:eastAsiaTheme="minorEastAsia" w:hAnsi="Times New Roman"/>
          <w:sz w:val="28"/>
          <w:szCs w:val="28"/>
        </w:rPr>
        <w:t xml:space="preserve">    </w:t>
      </w:r>
    </w:p>
    <w:p w:rsidR="00D76CFD" w:rsidRPr="00D76CFD" w:rsidRDefault="00D76CFD" w:rsidP="00D76CF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</w:r>
      <w:r w:rsidRPr="00D76CFD">
        <w:rPr>
          <w:rFonts w:ascii="Times New Roman" w:eastAsiaTheme="minorEastAsia" w:hAnsi="Times New Roman"/>
          <w:sz w:val="28"/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428"/>
        <w:gridCol w:w="1988"/>
        <w:gridCol w:w="1963"/>
        <w:gridCol w:w="1800"/>
      </w:tblGrid>
      <w:tr w:rsidR="00D76CFD" w:rsidRPr="00D76CFD" w:rsidTr="00676297">
        <w:tc>
          <w:tcPr>
            <w:tcW w:w="392" w:type="dxa"/>
          </w:tcPr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№п /</w:t>
            </w:r>
            <w:proofErr w:type="gramStart"/>
            <w:r w:rsidRPr="00D76CFD">
              <w:rPr>
                <w:rFonts w:ascii="Times New Roman" w:eastAsiaTheme="minorEastAsia" w:hAnsi="Times New Roman"/>
              </w:rPr>
              <w:t>п</w:t>
            </w:r>
            <w:proofErr w:type="gramEnd"/>
          </w:p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</w:tcPr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Наименование работ</w:t>
            </w:r>
          </w:p>
        </w:tc>
        <w:tc>
          <w:tcPr>
            <w:tcW w:w="1988" w:type="dxa"/>
          </w:tcPr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Стоимость работ, предъявленная в актах ф. КС-2, руб.</w:t>
            </w:r>
          </w:p>
        </w:tc>
        <w:tc>
          <w:tcPr>
            <w:tcW w:w="1963" w:type="dxa"/>
          </w:tcPr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Стоимость работ, фактически выполненных, руб.</w:t>
            </w:r>
          </w:p>
        </w:tc>
        <w:tc>
          <w:tcPr>
            <w:tcW w:w="1800" w:type="dxa"/>
          </w:tcPr>
          <w:p w:rsidR="00D76CFD" w:rsidRPr="00D76CFD" w:rsidRDefault="00D76CFD" w:rsidP="00D76CFD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Стоимость оплаченных невыполненных работ, руб.</w:t>
            </w:r>
          </w:p>
        </w:tc>
      </w:tr>
      <w:tr w:rsidR="00D76CFD" w:rsidRPr="00D76CFD" w:rsidTr="00676297">
        <w:tc>
          <w:tcPr>
            <w:tcW w:w="392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3428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Устройство свайного основания под ограждение пешеходной зоны</w:t>
            </w:r>
          </w:p>
        </w:tc>
        <w:tc>
          <w:tcPr>
            <w:tcW w:w="1988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 </w:t>
            </w:r>
          </w:p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3 965 469,06   </w:t>
            </w:r>
          </w:p>
        </w:tc>
        <w:tc>
          <w:tcPr>
            <w:tcW w:w="1963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</w:p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 1 758 899,74   </w:t>
            </w:r>
          </w:p>
        </w:tc>
        <w:tc>
          <w:tcPr>
            <w:tcW w:w="1800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 </w:t>
            </w:r>
          </w:p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2 206 569,32   </w:t>
            </w:r>
          </w:p>
        </w:tc>
      </w:tr>
      <w:tr w:rsidR="00D76CFD" w:rsidRPr="00D76CFD" w:rsidTr="00676297">
        <w:tc>
          <w:tcPr>
            <w:tcW w:w="392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3428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>Устройство ограждения</w:t>
            </w:r>
          </w:p>
        </w:tc>
        <w:tc>
          <w:tcPr>
            <w:tcW w:w="1988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 5 051 171,72 </w:t>
            </w:r>
          </w:p>
        </w:tc>
        <w:tc>
          <w:tcPr>
            <w:tcW w:w="1963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 3 327 778,18</w:t>
            </w:r>
          </w:p>
        </w:tc>
        <w:tc>
          <w:tcPr>
            <w:tcW w:w="1800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  <w:r w:rsidRPr="00D76CFD">
              <w:rPr>
                <w:rFonts w:ascii="Times New Roman" w:eastAsiaTheme="minorEastAsia" w:hAnsi="Times New Roman"/>
              </w:rPr>
              <w:t xml:space="preserve"> 1 723 393,54 </w:t>
            </w:r>
          </w:p>
        </w:tc>
      </w:tr>
      <w:tr w:rsidR="00D76CFD" w:rsidRPr="00D76CFD" w:rsidTr="00676297">
        <w:tc>
          <w:tcPr>
            <w:tcW w:w="392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428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1988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 xml:space="preserve"> 9 016 640,78   </w:t>
            </w:r>
          </w:p>
        </w:tc>
        <w:tc>
          <w:tcPr>
            <w:tcW w:w="1963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 xml:space="preserve">5 086 677,92  </w:t>
            </w:r>
          </w:p>
        </w:tc>
        <w:tc>
          <w:tcPr>
            <w:tcW w:w="1800" w:type="dxa"/>
          </w:tcPr>
          <w:p w:rsidR="00D76CFD" w:rsidRPr="00D76CFD" w:rsidRDefault="00D76CFD" w:rsidP="00D76CFD">
            <w:pPr>
              <w:spacing w:after="0"/>
              <w:rPr>
                <w:rFonts w:ascii="Times New Roman" w:eastAsiaTheme="minorEastAsia" w:hAnsi="Times New Roman"/>
                <w:b/>
              </w:rPr>
            </w:pPr>
            <w:r w:rsidRPr="00D76CFD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D76CF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3 929 962,86</w:t>
            </w:r>
          </w:p>
        </w:tc>
      </w:tr>
    </w:tbl>
    <w:p w:rsidR="00D76CFD" w:rsidRPr="001A564D" w:rsidRDefault="00D76CFD" w:rsidP="00B03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0FB" w:rsidRDefault="00F338CC" w:rsidP="003934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456" w:rsidRPr="00B65456">
        <w:rPr>
          <w:rFonts w:ascii="Times New Roman" w:hAnsi="Times New Roman" w:cs="Times New Roman"/>
          <w:sz w:val="28"/>
          <w:szCs w:val="28"/>
        </w:rPr>
        <w:t xml:space="preserve">С учетом изложенного и на основании </w:t>
      </w:r>
      <w:r w:rsidR="00B65456">
        <w:rPr>
          <w:rFonts w:ascii="Times New Roman" w:hAnsi="Times New Roman" w:cs="Times New Roman"/>
          <w:sz w:val="28"/>
          <w:szCs w:val="28"/>
        </w:rPr>
        <w:t>пу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нкта </w:t>
      </w:r>
      <w:r w:rsidR="00FC15A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статьи 270.2 Бюджетного кодекса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 </w:t>
      </w:r>
      <w:r w:rsidR="004109F4" w:rsidRPr="00B65456">
        <w:rPr>
          <w:rFonts w:ascii="Times New Roman" w:hAnsi="Times New Roman" w:cs="Times New Roman"/>
          <w:sz w:val="28"/>
          <w:szCs w:val="28"/>
        </w:rPr>
        <w:t>в адрес</w:t>
      </w:r>
      <w:r w:rsidR="004109F4" w:rsidRPr="00290B70">
        <w:rPr>
          <w:rFonts w:ascii="Times New Roman" w:hAnsi="Times New Roman" w:cs="Times New Roman"/>
          <w:sz w:val="28"/>
          <w:szCs w:val="28"/>
        </w:rPr>
        <w:t xml:space="preserve"> </w:t>
      </w:r>
      <w:r w:rsidR="00812681" w:rsidRPr="00812681">
        <w:rPr>
          <w:rFonts w:ascii="Times New Roman" w:hAnsi="Times New Roman" w:cs="Times New Roman"/>
          <w:sz w:val="28"/>
          <w:szCs w:val="28"/>
        </w:rPr>
        <w:t xml:space="preserve">руководителя ГКУ АО «ГУКС» </w:t>
      </w:r>
      <w:r w:rsidR="00FC15A1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812681" w:rsidRPr="00812681">
        <w:rPr>
          <w:rFonts w:ascii="Times New Roman" w:hAnsi="Times New Roman" w:cs="Times New Roman"/>
          <w:sz w:val="28"/>
          <w:szCs w:val="28"/>
        </w:rPr>
        <w:t>представление</w:t>
      </w:r>
      <w:r w:rsidR="0092341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92341F">
        <w:rPr>
          <w:rFonts w:ascii="Times New Roman" w:hAnsi="Times New Roman" w:cs="Times New Roman"/>
          <w:sz w:val="28"/>
          <w:szCs w:val="28"/>
        </w:rPr>
        <w:t xml:space="preserve"> 10.01.2018 №01-02/20.</w:t>
      </w:r>
    </w:p>
    <w:p w:rsidR="0092341F" w:rsidRPr="0092341F" w:rsidRDefault="00213FF6" w:rsidP="009234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234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 w:rsidR="009234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контрольного мероприятия </w:t>
      </w:r>
      <w:r w:rsidR="0092341F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 xml:space="preserve"> в  ОМВД России по Холмогорскому району, УМВД </w:t>
      </w:r>
      <w:r w:rsidR="0092341F">
        <w:rPr>
          <w:rFonts w:ascii="Times New Roman" w:eastAsia="Times New Roman" w:hAnsi="Times New Roman" w:cs="Times New Roman"/>
          <w:sz w:val="28"/>
          <w:szCs w:val="28"/>
        </w:rPr>
        <w:t xml:space="preserve">России по Архангельской области, </w:t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>в Правительство Архангельской области, министерство строительства Архангельской области.</w:t>
      </w:r>
    </w:p>
    <w:p w:rsidR="00B65456" w:rsidRPr="004109F4" w:rsidRDefault="0092341F" w:rsidP="009234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1F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65456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11287E"/>
    <w:rsid w:val="001213EB"/>
    <w:rsid w:val="001225AB"/>
    <w:rsid w:val="00141B14"/>
    <w:rsid w:val="001711EB"/>
    <w:rsid w:val="001B0019"/>
    <w:rsid w:val="001E0D22"/>
    <w:rsid w:val="00213FF6"/>
    <w:rsid w:val="00246991"/>
    <w:rsid w:val="00284C96"/>
    <w:rsid w:val="002A3605"/>
    <w:rsid w:val="002C515A"/>
    <w:rsid w:val="002E4F09"/>
    <w:rsid w:val="0034097D"/>
    <w:rsid w:val="00345EC1"/>
    <w:rsid w:val="0036201C"/>
    <w:rsid w:val="003934BF"/>
    <w:rsid w:val="003E51EB"/>
    <w:rsid w:val="004109F4"/>
    <w:rsid w:val="00441FAB"/>
    <w:rsid w:val="004D29BA"/>
    <w:rsid w:val="004F7EA2"/>
    <w:rsid w:val="006149A2"/>
    <w:rsid w:val="006C4BDA"/>
    <w:rsid w:val="006D1F52"/>
    <w:rsid w:val="00766E7E"/>
    <w:rsid w:val="007B7D4A"/>
    <w:rsid w:val="007C2ACE"/>
    <w:rsid w:val="007C383E"/>
    <w:rsid w:val="00812681"/>
    <w:rsid w:val="00835F9A"/>
    <w:rsid w:val="00881D11"/>
    <w:rsid w:val="008D07D0"/>
    <w:rsid w:val="008F70FB"/>
    <w:rsid w:val="0092341F"/>
    <w:rsid w:val="00962C69"/>
    <w:rsid w:val="009C23EE"/>
    <w:rsid w:val="009C4D24"/>
    <w:rsid w:val="00AB58C9"/>
    <w:rsid w:val="00AB66C7"/>
    <w:rsid w:val="00AC5268"/>
    <w:rsid w:val="00AF1265"/>
    <w:rsid w:val="00B03355"/>
    <w:rsid w:val="00B65456"/>
    <w:rsid w:val="00B91840"/>
    <w:rsid w:val="00BA0CFE"/>
    <w:rsid w:val="00C27351"/>
    <w:rsid w:val="00C91667"/>
    <w:rsid w:val="00CE5A9B"/>
    <w:rsid w:val="00D055A0"/>
    <w:rsid w:val="00D76CFD"/>
    <w:rsid w:val="00DA63E9"/>
    <w:rsid w:val="00DD3B11"/>
    <w:rsid w:val="00E775E1"/>
    <w:rsid w:val="00F338CC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7</cp:revision>
  <cp:lastPrinted>2015-12-21T12:01:00Z</cp:lastPrinted>
  <dcterms:created xsi:type="dcterms:W3CDTF">2018-02-06T13:41:00Z</dcterms:created>
  <dcterms:modified xsi:type="dcterms:W3CDTF">2018-02-06T14:55:00Z</dcterms:modified>
</cp:coreProperties>
</file>