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D4" w:rsidRPr="00C46F0F" w:rsidRDefault="002D55D4" w:rsidP="00C46F0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F0F"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C46F0F" w:rsidRDefault="00C46F0F" w:rsidP="00C46F0F">
      <w:pPr>
        <w:pStyle w:val="20"/>
        <w:shd w:val="clear" w:color="auto" w:fill="auto"/>
        <w:spacing w:before="0" w:after="0" w:line="319" w:lineRule="exact"/>
        <w:ind w:firstLine="880"/>
      </w:pPr>
      <w:r w:rsidRPr="00C46F0F">
        <w:rPr>
          <w:lang w:eastAsia="ru-RU" w:bidi="ru-RU"/>
        </w:rPr>
        <w:t>«О внесении изменений в статью 2 областного закона «О дорожном фонде Архангельской области»</w:t>
      </w:r>
    </w:p>
    <w:p w:rsidR="002D55D4" w:rsidRPr="001B33D0" w:rsidRDefault="002D55D4" w:rsidP="002D55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D55D4" w:rsidRPr="001B33D0" w:rsidRDefault="002D55D4" w:rsidP="002D55D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D55D4" w:rsidRPr="00C46F0F" w:rsidRDefault="002D55D4" w:rsidP="002D55D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6F0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46F0F" w:rsidRPr="00C46F0F">
        <w:rPr>
          <w:rFonts w:ascii="Times New Roman" w:eastAsia="Calibri" w:hAnsi="Times New Roman" w:cs="Times New Roman"/>
          <w:sz w:val="28"/>
          <w:szCs w:val="28"/>
        </w:rPr>
        <w:t>28.08.2019</w:t>
      </w:r>
      <w:r w:rsidRPr="00C46F0F">
        <w:rPr>
          <w:rFonts w:ascii="Times New Roman" w:eastAsia="Calibri" w:hAnsi="Times New Roman" w:cs="Times New Roman"/>
          <w:sz w:val="28"/>
          <w:szCs w:val="28"/>
        </w:rPr>
        <w:t xml:space="preserve"> №01-02/</w:t>
      </w:r>
      <w:r w:rsidR="00C46F0F" w:rsidRPr="00C46F0F">
        <w:rPr>
          <w:rFonts w:ascii="Times New Roman" w:eastAsia="Calibri" w:hAnsi="Times New Roman" w:cs="Times New Roman"/>
          <w:sz w:val="28"/>
          <w:szCs w:val="28"/>
        </w:rPr>
        <w:t>871</w:t>
      </w:r>
    </w:p>
    <w:p w:rsidR="002D55D4" w:rsidRPr="00C46F0F" w:rsidRDefault="002D55D4" w:rsidP="002D5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F" w:rsidRPr="00C46F0F" w:rsidRDefault="002D55D4" w:rsidP="00C46F0F">
      <w:pPr>
        <w:pStyle w:val="20"/>
        <w:shd w:val="clear" w:color="auto" w:fill="auto"/>
        <w:spacing w:before="0" w:after="0" w:line="319" w:lineRule="exact"/>
        <w:ind w:firstLine="880"/>
        <w:jc w:val="both"/>
      </w:pPr>
      <w:r w:rsidRPr="00C46F0F">
        <w:t>Контрольно-счетная палата Архангельской области рассмотре</w:t>
      </w:r>
      <w:r w:rsidR="00C46F0F" w:rsidRPr="00C46F0F">
        <w:t>ла</w:t>
      </w:r>
      <w:r w:rsidRPr="00C46F0F">
        <w:t xml:space="preserve"> проект областного закона «</w:t>
      </w:r>
      <w:r w:rsidR="00C46F0F" w:rsidRPr="00C46F0F">
        <w:rPr>
          <w:lang w:eastAsia="ru-RU" w:bidi="ru-RU"/>
        </w:rPr>
        <w:t>О внесении изменений в статью 2 областного закона «О дорожном фонде Архангельской области» (далее - законопроект), внесенный в порядке законодательной инициативы исполняющим обязанности главы муниципального образования «Котлас» А.А. Бурбахом.</w:t>
      </w:r>
    </w:p>
    <w:p w:rsidR="002D55D4" w:rsidRPr="00C46F0F" w:rsidRDefault="002D55D4" w:rsidP="002D55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>Законопроектом предлагается внести в пункт 4 статьи 2 областного закона «О дорожном фонде Архангельской области» следующие изменения: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>установить норматив, с учетом которого определяется размер субсидий бюджетам городских округов Архангельской области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 исходя из численности населения: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>бюджетам городских округов Архангельской области с численностью населения свыше 100 тысяч человек, исходя из 40 процентов 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городских округов Архангельской области;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>бюджетам городских округов Архангельской области с численностью населения не более 100 тысяч человек, исходя из 80 процентов 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городских округов Архангельской области.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>Действие законопроекта предлагается распространить на правоотношения, возникшие с 1 января 2021 года, но не ранее его официального опубликования и применить к отношениям, возникшим при составлении и утверждении областного бюджета на 2021 год и плановый период 2022 и 2023 годов. В действующей редакции областного закона «О дорожном фонде Архангельской области» размер указанной субсидии определяется исходя из 40 % прогнозируемых на соответствующий финансовый год объемов транспортного налога с физических лиц, исчисляемого к уплате на территориях соответствующих городских округов Архангельской области, применение установленного норматива не привязано к численности населения городского округа.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 xml:space="preserve">В действующей редакции Закона о бюджете общий объем субсидий бюджетам городских округов на 2019 год утвержден в сумме 245 953,6 тыс.руб., на 2020 год - 246 071,60 тыс.руб., на 2021 год - 246 609,20 тыс.руб., в том числе </w:t>
      </w:r>
      <w:r>
        <w:rPr>
          <w:color w:val="000000"/>
          <w:lang w:eastAsia="ru-RU" w:bidi="ru-RU"/>
        </w:rPr>
        <w:lastRenderedPageBreak/>
        <w:t>бюджетам городских округов с численностью населения менее 100 тыс. чел. (МО «Город Новодвинск», МО «Котлас», МО «Город Коряжма», МО «Мирный») 56 790,80 тыс.руб. - на 2019 год, 56 816,00 тыс.руб. - на 2020 год, 56 938,00 тыс.руб. - на 2021 год.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>С учетом предлагаемых изменений при существующих параметрах областного бюджета увеличение объёма дорожного фонда Архангельской области на предоставление бюджетам городских округов Архангельской области с численностью населения не более 100 тысяч человек субсидий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осуществляемой за счет бюджетных ассигнований муниципальных дорожных фондов, составило бы на 2021 год - 56 938,00 тыс.руб.</w:t>
      </w:r>
    </w:p>
    <w:p w:rsidR="00C46F0F" w:rsidRDefault="00C46F0F" w:rsidP="009B1ACA">
      <w:pPr>
        <w:pStyle w:val="20"/>
        <w:shd w:val="clear" w:color="auto" w:fill="auto"/>
        <w:spacing w:before="0" w:after="0" w:line="319" w:lineRule="exact"/>
        <w:ind w:firstLine="709"/>
        <w:jc w:val="both"/>
      </w:pPr>
      <w:r>
        <w:rPr>
          <w:color w:val="000000"/>
          <w:lang w:eastAsia="ru-RU" w:bidi="ru-RU"/>
        </w:rPr>
        <w:t xml:space="preserve">При этом следует отметить, что в Федеральный закон от 06.10.2003 № 131- ФЗ «Об общих принципах организации местного самоуправления в Российской Федерации» с 1 мая 2019 года внесены изменения в части увеличения видов муниципальных образований, а именно: введено понятие </w:t>
      </w:r>
      <w:r>
        <w:t xml:space="preserve">муниципального округа. </w:t>
      </w:r>
    </w:p>
    <w:p w:rsidR="00C46F0F" w:rsidRDefault="00C46F0F" w:rsidP="00482555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Одновременно с этим изменены требования к городскому округу: согласно пункту 3.3 части 1 статьи 11 Федерального закона от 06.10.2003 № 131-ФЗ "Об общих принципах организации местного самоуправления в Российской Федерации" 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</w:t>
      </w:r>
      <w:r w:rsidR="00482555">
        <w:rPr>
          <w:color w:val="000000"/>
          <w:lang w:eastAsia="ru-RU" w:bidi="ru-RU"/>
        </w:rPr>
        <w:t>,</w:t>
      </w:r>
      <w:bookmarkStart w:id="0" w:name="_GoBack"/>
      <w:bookmarkEnd w:id="0"/>
      <w:r>
        <w:rPr>
          <w:color w:val="000000"/>
          <w:lang w:eastAsia="ru-RU" w:bidi="ru-RU"/>
        </w:rPr>
        <w:t xml:space="preserve">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округа, на территории городского округа плотность населения должна в пять и более раз превышать среднюю плотность населения в Российской Федерации.</w:t>
      </w:r>
    </w:p>
    <w:p w:rsidR="00C46F0F" w:rsidRDefault="00C46F0F" w:rsidP="00482555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Для преобразования населенных пунктов в муниципальные округа установлен срок - до 2025 года.</w:t>
      </w:r>
    </w:p>
    <w:p w:rsidR="00482555" w:rsidRDefault="00C46F0F" w:rsidP="00482555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связи с указанным, учитывая вероятность изменения границ и наименований существующих городских округов, рассмотрение законопроекта представляется преждевременным.</w:t>
      </w:r>
    </w:p>
    <w:p w:rsidR="00C46F0F" w:rsidRDefault="00C46F0F" w:rsidP="00482555">
      <w:pPr>
        <w:pStyle w:val="2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рассмотрения законопроекта контрольно-счетная палата не поддерживает его принятие.</w:t>
      </w:r>
    </w:p>
    <w:sectPr w:rsidR="00C46F0F" w:rsidSect="006B59D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D4"/>
    <w:rsid w:val="00183F2B"/>
    <w:rsid w:val="002277CE"/>
    <w:rsid w:val="002D55D4"/>
    <w:rsid w:val="00482555"/>
    <w:rsid w:val="009724CE"/>
    <w:rsid w:val="009B1ACA"/>
    <w:rsid w:val="00C46F0F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F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F0F"/>
    <w:pPr>
      <w:widowControl w:val="0"/>
      <w:shd w:val="clear" w:color="auto" w:fill="FFFFFF"/>
      <w:spacing w:before="66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F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F0F"/>
    <w:pPr>
      <w:widowControl w:val="0"/>
      <w:shd w:val="clear" w:color="auto" w:fill="FFFFFF"/>
      <w:spacing w:before="66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Людмила Владимировна Колмогорова</cp:lastModifiedBy>
  <cp:revision>2</cp:revision>
  <dcterms:created xsi:type="dcterms:W3CDTF">2019-10-08T12:41:00Z</dcterms:created>
  <dcterms:modified xsi:type="dcterms:W3CDTF">2019-10-08T12:41:00Z</dcterms:modified>
</cp:coreProperties>
</file>